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26-170</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12</w:t>
      </w:r>
    </w:p>
    <w:p>
      <w:pPr>
        <w:spacing w:before="0" w:after="0" w:line="480"/>
        <w:ind w:left="120"/>
        <w:jc w:val="center"/>
      </w:pPr>
      <w:r>
        <w:rPr>
          <w:rFonts w:ascii="Times New Roman" w:hAnsi="Times New Roman"/>
          <w:b w:val="false"/>
          <w:i w:val="false"/>
          <w:color w:val="000000"/>
          <w:sz w:val="24"/>
        </w:rPr>
        <w:t>“General Accreditation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256.7 and 256.11</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11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meet.google.com/qjc-zbvu-pmx</w:t>
              </w:r>
            </w:hyperlink>
            <w:r>
              <w:br/>
            </w:r>
            <w:r>
              <w:rPr>
                <w:rFonts w:ascii="Times New Roman" w:hAnsi="Times New Roman"/>
                <w:b w:val="false"/>
                <w:i w:val="false"/>
                <w:color w:val="000000"/>
                <w:sz w:val="14"/>
              </w:rPr>
              <w:t>Or dial: ‪(US) +1 410.995.8223</w:t>
            </w:r>
            <w:r>
              <w:br/>
            </w:r>
            <w:r>
              <w:rPr>
                <w:rFonts w:ascii="Times New Roman" w:hAnsi="Times New Roman"/>
                <w:b w:val="false"/>
                <w:i w:val="false"/>
                <w:color w:val="000000"/>
                <w:sz w:val="14"/>
              </w:rPr>
              <w:t>PIN: ‪697 039 136#</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 Rules Coordinator</w:t>
            </w:r>
            <w:r>
              <w:br/>
            </w:r>
            <w:r>
              <w:rPr>
                <w:rFonts w:ascii="Times New Roman" w:hAnsi="Times New Roman"/>
                <w:b w:val="false"/>
                <w:i w:val="false"/>
                <w:color w:val="000000"/>
                <w:sz w:val="14"/>
              </w:rPr>
              <w:t>Department of Education</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conforms the requirements to offer and teach fine arts at the secondary level to the enabling statutory text and modernizes language regarding reporting for students based on demographic groups.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School districts, nonpublic schools, and the Department will bear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Schools and families will benefit from the clarity this proposed rulemaking will provide.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an unquantifiable qualitative impact associated with increased rule clarity.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will bear routine enforcement costs (e.g., the costs of monitoring and enforcing any school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effects were noted or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statute requires rules, so no comparison is necessary.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statute requires rules, so no determination was made.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statute requires rules, so no alternatives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statute requires rules, so no alternatives were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known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 of </w:t>
      </w:r>
      <w:r>
        <w:rPr>
          <w:rFonts w:ascii="Times New Roman" w:hAnsi="Times New Roman"/>
          <w:b w:val="false"/>
          <w:i w:val="false"/>
          <w:color w:val="000000"/>
          <w:sz w:val="24"/>
        </w:rPr>
        <w:t>“Subgroups”</w:t>
      </w:r>
      <w:r>
        <w:rPr>
          <w:rFonts w:ascii="Times New Roman" w:hAnsi="Times New Roman"/>
          <w:b w:val="false"/>
          <w:i w:val="false"/>
          <w:color w:val="000000"/>
          <w:sz w:val="24"/>
        </w:rPr>
        <w:t xml:space="preserve"> in rule </w:t>
      </w:r>
      <w:r>
        <w:rPr>
          <w:rFonts w:ascii="Times New Roman" w:hAnsi="Times New Roman"/>
          <w:b/>
          <w:i w:val="false"/>
          <w:color w:val="000000"/>
          <w:sz w:val="24"/>
        </w:rPr>
        <w:t>281—12.2(256)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“Student groups”</w:t>
      </w:r>
      <w:r>
        <w:rPr>
          <w:rFonts w:ascii="Times New Roman" w:hAnsi="Times New Roman"/>
          <w:b w:val="false"/>
          <w:i w:val="false"/>
          <w:color w:val="000000"/>
          <w:sz w:val="24"/>
        </w:rPr>
        <w:t xml:space="preserve"> in rule </w:t>
      </w:r>
      <w:r>
        <w:rPr>
          <w:rFonts w:ascii="Times New Roman" w:hAnsi="Times New Roman"/>
          <w:b/>
          <w:i w:val="false"/>
          <w:color w:val="000000"/>
          <w:sz w:val="24"/>
        </w:rPr>
        <w:t>281—12.2(256)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 groups”</w:t>
      </w:r>
      <w:r>
        <w:rPr>
          <w:rFonts w:ascii="Times New Roman" w:hAnsi="Times New Roman"/>
          <w:b w:val="false"/>
          <w:i/>
          <w:color w:val="000000"/>
          <w:sz w:val="24"/>
          <w:u w:val="single"/>
        </w:rPr>
        <w:t> </w:t>
      </w:r>
      <w:r>
        <w:rPr>
          <w:rFonts w:ascii="Times New Roman" w:hAnsi="Times New Roman"/>
          <w:b w:val="false"/>
          <w:i w:val="false"/>
          <w:color w:val="000000"/>
          <w:sz w:val="24"/>
        </w:rPr>
        <w:t>(formerly known as “subgroups”) means a subset of the student population that has a common characteristic. Student groups include but are not limited to gender, race, students with disabilities, and socioeconomic status.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12.5(5)“g”</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Fine arts (two units). </w:t>
      </w:r>
      <w:r>
        <w:rPr>
          <w:rFonts w:ascii="Times New Roman" w:hAnsi="Times New Roman"/>
          <w:b w:val="false"/>
          <w:i w:val="false"/>
          <w:color w:val="000000"/>
          <w:sz w:val="24"/>
        </w:rPr>
        <w:t xml:space="preserve">Fine arts instruction </w:t>
      </w:r>
      <w:r>
        <w:rPr>
          <w:rFonts w:ascii="Times New Roman" w:hAnsi="Times New Roman"/>
          <w:b w:val="false"/>
          <w:i w:val="false"/>
          <w:strike/>
          <w:color w:val="000000"/>
          <w:sz w:val="24"/>
        </w:rPr>
        <w:t>will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may</w:t>
      </w:r>
      <w:r>
        <w:rPr>
          <w:rFonts w:ascii="Times New Roman" w:hAnsi="Times New Roman"/>
          <w:b w:val="false"/>
          <w:i w:val="false"/>
          <w:color w:val="000000"/>
          <w:sz w:val="24"/>
        </w:rPr>
        <w:t xml:space="preserve"> include </w:t>
      </w:r>
      <w:r>
        <w:rPr>
          <w:rFonts w:ascii="Times New Roman" w:hAnsi="Times New Roman"/>
          <w:b w:val="false"/>
          <w:i w:val="false"/>
          <w:strike/>
          <w:color w:val="000000"/>
          <w:sz w:val="24"/>
        </w:rPr>
        <w:t>at least two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any</w:t>
      </w:r>
      <w:r>
        <w:rPr>
          <w:rFonts w:ascii="Times New Roman" w:hAnsi="Times New Roman"/>
          <w:b w:val="false"/>
          <w:i w:val="false"/>
          <w:color w:val="000000"/>
          <w:sz w:val="24"/>
        </w:rPr>
        <w:t xml:space="preserve"> of the following: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12.8(1)“b”(5)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w:t>
      </w:r>
      <w:r>
        <w:rPr>
          <w:rFonts w:ascii="Times New Roman" w:hAnsi="Times New Roman"/>
          <w:b w:val="false"/>
          <w:i w:val="false"/>
          <w:strike/>
          <w:color w:val="000000"/>
          <w:sz w:val="24"/>
        </w:rPr>
        <w:t>subgroups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of students, or both. Annual improvement goals may be set for the early intervention program as described in </w:t>
      </w:r>
      <w:hyperlink r:id="rId6">
        <w:r>
          <w:rPr>
            <w:rStyle w:val="Hyperlink"/>
            <w:rFonts w:ascii="Times New Roman" w:hAnsi="Times New Roman"/>
            <w:b w:val="false"/>
            <w:i w:val="false"/>
            <w:color w:val="000000"/>
            <w:sz w:val="24"/>
          </w:rPr>
          <w:t>subrule 12.5(18)</w:t>
        </w:r>
      </w:hyperlink>
      <w:r>
        <w:rPr>
          <w:rFonts w:ascii="Times New Roman" w:hAnsi="Times New Roman"/>
          <w:b w:val="false"/>
          <w:i w:val="false"/>
          <w:color w:val="000000"/>
          <w:sz w:val="24"/>
        </w:rPr>
        <w:t>, other state indicators, locally determined indicators, locally established student learning goals, other curriculum areas, future student employability, or factors influencing student achievement.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12.8(2)“a”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 indicators. </w:t>
      </w:r>
      <w:r>
        <w:rPr>
          <w:rFonts w:ascii="Times New Roman" w:hAnsi="Times New Roman"/>
          <w:b w:val="false"/>
          <w:i w:val="false"/>
          <w:color w:val="000000"/>
          <w:sz w:val="24"/>
        </w:rPr>
        <w:t>A school or school district will collect data on the following indicators for reporting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all </w:t>
      </w:r>
      <w:r>
        <w:rPr>
          <w:rFonts w:ascii="Times New Roman" w:hAnsi="Times New Roman"/>
          <w:b w:val="false"/>
          <w:i w:val="false"/>
          <w:strike/>
          <w:color w:val="000000"/>
          <w:sz w:val="24"/>
        </w:rPr>
        <w:t>fourth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fourth-</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eighth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eighth-</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eleventh grade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eleventh-grade</w:t>
      </w:r>
      <w:r>
        <w:rPr>
          <w:rFonts w:ascii="Times New Roman" w:hAnsi="Times New Roman"/>
          <w:b w:val="false"/>
          <w:i w:val="false"/>
          <w:color w:val="000000"/>
          <w:sz w:val="24"/>
        </w:rPr>
        <w:t xml:space="preserve"> students achieving proficient or higher reading status using at least three achievement levels and by gender, race, socioeconomic status, students with disabilities, and other </w:t>
      </w:r>
      <w:r>
        <w:rPr>
          <w:rFonts w:ascii="Times New Roman" w:hAnsi="Times New Roman"/>
          <w:b w:val="false"/>
          <w:i w:val="false"/>
          <w:strike/>
          <w:color w:val="000000"/>
          <w:sz w:val="24"/>
        </w:rPr>
        <w:t>subgroups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as required by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all </w:t>
      </w:r>
      <w:r>
        <w:rPr>
          <w:rFonts w:ascii="Times New Roman" w:hAnsi="Times New Roman"/>
          <w:b w:val="false"/>
          <w:i w:val="false"/>
          <w:strike/>
          <w:color w:val="000000"/>
          <w:sz w:val="24"/>
        </w:rPr>
        <w:t>fourth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fourth-</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eighth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eighth-</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eleventh grade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eleventh-grade</w:t>
      </w:r>
      <w:r>
        <w:rPr>
          <w:rFonts w:ascii="Times New Roman" w:hAnsi="Times New Roman"/>
          <w:b w:val="false"/>
          <w:i w:val="false"/>
          <w:color w:val="000000"/>
          <w:sz w:val="24"/>
        </w:rPr>
        <w:t xml:space="preserve"> students achieving proficient or higher mathematics status using at least three achievement levels and for gender, race, socioeconomic status, students with disabilities, and other </w:t>
      </w:r>
      <w:r>
        <w:rPr>
          <w:rFonts w:ascii="Times New Roman" w:hAnsi="Times New Roman"/>
          <w:b w:val="false"/>
          <w:i w:val="false"/>
          <w:strike/>
          <w:color w:val="000000"/>
          <w:sz w:val="24"/>
        </w:rPr>
        <w:t>subgroups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as required by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all </w:t>
      </w:r>
      <w:r>
        <w:rPr>
          <w:rFonts w:ascii="Times New Roman" w:hAnsi="Times New Roman"/>
          <w:b w:val="false"/>
          <w:i w:val="false"/>
          <w:strike/>
          <w:color w:val="000000"/>
          <w:sz w:val="24"/>
        </w:rPr>
        <w:t>eighth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eighth-</w:t>
      </w:r>
      <w:r>
        <w:rPr>
          <w:rFonts w:ascii="Times New Roman" w:hAnsi="Times New Roman"/>
          <w:b w:val="false"/>
          <w:i w:val="false"/>
          <w:color w:val="000000"/>
          <w:sz w:val="24"/>
        </w:rPr>
        <w:t xml:space="preserve"> and </w:t>
      </w:r>
      <w:r>
        <w:rPr>
          <w:rFonts w:ascii="Times New Roman" w:hAnsi="Times New Roman"/>
          <w:b w:val="false"/>
          <w:i w:val="false"/>
          <w:strike/>
          <w:color w:val="000000"/>
          <w:sz w:val="24"/>
        </w:rPr>
        <w:t>tenth grade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tenth-grade</w:t>
      </w:r>
      <w:r>
        <w:rPr>
          <w:rFonts w:ascii="Times New Roman" w:hAnsi="Times New Roman"/>
          <w:b w:val="false"/>
          <w:i w:val="false"/>
          <w:color w:val="000000"/>
          <w:sz w:val="24"/>
        </w:rPr>
        <w:t xml:space="preserve"> students achieving proficient or higher science status using at least three achievement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percentage of students considered as dropouts for grades 7 to 12 by gender, race, students with disabilities, and other </w:t>
      </w:r>
      <w:r>
        <w:rPr>
          <w:rFonts w:ascii="Times New Roman" w:hAnsi="Times New Roman"/>
          <w:b w:val="false"/>
          <w:i w:val="false"/>
          <w:strike/>
          <w:color w:val="000000"/>
          <w:sz w:val="24"/>
        </w:rPr>
        <w:t>subgroups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groups</w:t>
      </w:r>
      <w:r>
        <w:rPr>
          <w:rFonts w:ascii="Times New Roman" w:hAnsi="Times New Roman"/>
          <w:b w:val="false"/>
          <w:i w:val="false"/>
          <w:color w:val="000000"/>
          <w:sz w:val="24"/>
        </w:rPr>
        <w:t xml:space="preserve"> as required by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12.8(2)“b”(1)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Baseline data on at least one districtwide assessment for the state indicators described in </w:t>
      </w:r>
      <w:hyperlink r:id="rId7">
        <w:r>
          <w:rPr>
            <w:rStyle w:val="Hyperlink"/>
            <w:rFonts w:ascii="Times New Roman" w:hAnsi="Times New Roman"/>
            <w:b w:val="false"/>
            <w:i w:val="false"/>
            <w:color w:val="000000"/>
            <w:sz w:val="24"/>
          </w:rPr>
          <w:t>subrule 12.8(3)</w:t>
        </w:r>
      </w:hyperlink>
      <w:r>
        <w:rPr>
          <w:rFonts w:ascii="Times New Roman" w:hAnsi="Times New Roman"/>
          <w:b w:val="false"/>
          <w:i w:val="false"/>
          <w:color w:val="000000"/>
          <w:sz w:val="24"/>
        </w:rPr>
        <w:t xml:space="preserve">. Every year thereafter the school or school district will compare the annual data collected with the baseline data. A school or school district is not to report to the community about </w:t>
      </w:r>
      <w:r>
        <w:rPr>
          <w:rFonts w:ascii="Times New Roman" w:hAnsi="Times New Roman"/>
          <w:b w:val="false"/>
          <w:i w:val="false"/>
          <w:strike/>
          <w:color w:val="000000"/>
          <w:sz w:val="24"/>
        </w:rPr>
        <w:t>subgroup</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w:t>
      </w:r>
      <w:r>
        <w:rPr>
          <w:rFonts w:ascii="Times New Roman" w:hAnsi="Times New Roman"/>
          <w:b w:val="false"/>
          <w:i w:val="false"/>
          <w:color w:val="000000"/>
          <w:sz w:val="24"/>
        </w:rPr>
        <w:t xml:space="preserve"> assessment results when a </w:t>
      </w:r>
      <w:r>
        <w:rPr>
          <w:rFonts w:ascii="Times New Roman" w:hAnsi="Times New Roman"/>
          <w:b w:val="false"/>
          <w:i w:val="false"/>
          <w:strike/>
          <w:color w:val="000000"/>
          <w:sz w:val="24"/>
        </w:rPr>
        <w:t>subgroup</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student group</w:t>
      </w:r>
      <w:r>
        <w:rPr>
          <w:rFonts w:ascii="Times New Roman" w:hAnsi="Times New Roman"/>
          <w:b w:val="false"/>
          <w:i w:val="false"/>
          <w:color w:val="000000"/>
          <w:sz w:val="24"/>
        </w:rPr>
        <w:t xml:space="preserve"> contains fewer than ten students at a grade level. A school or school district will report districtwide assessment results for all enrolled and tuitioned-in students.</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qjc-zbvu-pmx"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ac/rule/281.12.5.pdf" Type="http://schemas.openxmlformats.org/officeDocument/2006/relationships/hyperlink" Id="rId6"/>
    <Relationship TargetMode="External" Target="https://www.legis.iowa.gov/docs/iac/rule/281.12.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